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ind w:left="432" w:leftChars="0" w:hanging="432" w:firstLineChars="0"/>
        <w:rPr>
          <w:rFonts w:hint="default" w:eastAsia="宋体"/>
          <w:lang w:val="en-US" w:eastAsia="zh-CN"/>
        </w:rPr>
      </w:pPr>
      <w:bookmarkStart w:id="0" w:name="_Toc134884493"/>
      <w:r>
        <w:rPr>
          <w:rFonts w:hint="eastAsia" w:cs="宋体"/>
          <w:b/>
          <w:bCs/>
          <w:i w:val="0"/>
          <w:kern w:val="44"/>
          <w:sz w:val="24"/>
          <w:szCs w:val="24"/>
          <w:lang w:val="en-US" w:eastAsia="zh-CN" w:bidi="ar-SA"/>
        </w:rPr>
        <w:t>7.2</w:t>
      </w:r>
      <w:r>
        <w:rPr>
          <w:rFonts w:hint="eastAsia" w:ascii="宋体" w:hAnsi="宋体" w:eastAsia="宋体" w:cs="宋体"/>
          <w:b/>
          <w:bCs/>
          <w:i w:val="0"/>
          <w:kern w:val="44"/>
          <w:sz w:val="24"/>
          <w:szCs w:val="24"/>
          <w:lang w:val="en-US" w:eastAsia="zh-CN" w:bidi="ar-SA"/>
        </w:rPr>
        <w:t>、</w:t>
      </w:r>
      <w:bookmarkEnd w:id="0"/>
      <w:r>
        <w:rPr>
          <w:rFonts w:hint="eastAsia"/>
          <w:lang w:val="en-US" w:eastAsia="zh-CN"/>
        </w:rPr>
        <w:t>报价文件</w:t>
      </w:r>
    </w:p>
    <w:p>
      <w:pPr>
        <w:pStyle w:val="9"/>
      </w:pPr>
      <w:r>
        <w:rPr>
          <w:rFonts w:hint="eastAsia"/>
        </w:rPr>
        <w:t>开标一览表</w:t>
      </w:r>
    </w:p>
    <w:p>
      <w:pPr>
        <w:rPr>
          <w:lang w:val="zh-CN"/>
        </w:rPr>
      </w:pPr>
      <w:r>
        <w:rPr>
          <w:rFonts w:hint="eastAsia"/>
          <w:lang w:val="zh-CN"/>
        </w:rPr>
        <w:t>项目名称：</w:t>
      </w:r>
      <w:r>
        <w:rPr>
          <w:rFonts w:hint="eastAsia"/>
          <w:u w:val="single"/>
          <w:lang w:val="zh-CN"/>
        </w:rPr>
        <w:t xml:space="preserve"> </w:t>
      </w:r>
      <w:r>
        <w:rPr>
          <w:u w:val="single"/>
          <w:lang w:val="zh-CN"/>
        </w:rPr>
        <w:t xml:space="preserve"> </w:t>
      </w:r>
      <w:r>
        <w:rPr>
          <w:rFonts w:hint="eastAsia" w:ascii="Calibri" w:hAnsi="Calibri" w:cs="Calibri"/>
          <w:color w:val="auto"/>
          <w:sz w:val="22"/>
          <w:u w:val="single"/>
          <w:lang w:val="en-US" w:eastAsia="zh-CN"/>
        </w:rPr>
        <w:t>2024年鄞州保安公司鄞州大道快速路监控治安监控建设项目</w:t>
      </w:r>
    </w:p>
    <w:p>
      <w:pPr>
        <w:ind w:firstLine="440"/>
        <w:jc w:val="right"/>
        <w:rPr>
          <w:rFonts w:hint="eastAsia"/>
        </w:rPr>
      </w:pPr>
    </w:p>
    <w:p>
      <w:pPr>
        <w:ind w:firstLine="440"/>
        <w:jc w:val="right"/>
      </w:pPr>
      <w:r>
        <w:rPr>
          <w:rFonts w:hint="eastAsia"/>
        </w:rPr>
        <w:t>单位：元（人民币）</w:t>
      </w:r>
    </w:p>
    <w:tbl>
      <w:tblPr>
        <w:tblStyle w:val="6"/>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pPr>
              <w:pStyle w:val="10"/>
              <w:jc w:val="center"/>
            </w:pPr>
            <w:r>
              <w:rPr>
                <w:rFonts w:hint="eastAsia"/>
              </w:rPr>
              <w:t>项目名称</w:t>
            </w:r>
          </w:p>
        </w:tc>
        <w:tc>
          <w:tcPr>
            <w:tcW w:w="4837" w:type="dxa"/>
            <w:vAlign w:val="center"/>
          </w:tcPr>
          <w:p>
            <w:pPr>
              <w:jc w:val="center"/>
            </w:pPr>
            <w:r>
              <w:rPr>
                <w:rFonts w:hint="eastAsia" w:ascii="Calibri" w:hAnsi="Calibri" w:cs="Calibri"/>
                <w:color w:val="auto"/>
                <w:sz w:val="22"/>
                <w:u w:val="none"/>
                <w:lang w:val="en-US" w:eastAsia="zh-CN"/>
              </w:rPr>
              <w:t>2024年鄞州保安公司鄞州大道快速路监控治安监控建设项目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pPr>
              <w:pStyle w:val="10"/>
              <w:jc w:val="center"/>
            </w:pPr>
            <w:r>
              <w:rPr>
                <w:rFonts w:hint="eastAsia"/>
              </w:rPr>
              <w:t>投标总价（小写）</w:t>
            </w:r>
          </w:p>
        </w:tc>
        <w:tc>
          <w:tcPr>
            <w:tcW w:w="4837" w:type="dxa"/>
            <w:vAlign w:val="center"/>
          </w:tcPr>
          <w:p>
            <w:pPr>
              <w:pStyle w:val="10"/>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pPr>
              <w:pStyle w:val="10"/>
              <w:jc w:val="center"/>
            </w:pPr>
            <w:r>
              <w:rPr>
                <w:rFonts w:hint="eastAsia"/>
              </w:rPr>
              <w:t>投标总价（大写）</w:t>
            </w:r>
          </w:p>
        </w:tc>
        <w:tc>
          <w:tcPr>
            <w:tcW w:w="4837" w:type="dxa"/>
            <w:vAlign w:val="center"/>
          </w:tcPr>
          <w:p>
            <w:pPr>
              <w:pStyle w:val="10"/>
              <w:jc w:val="center"/>
            </w:pPr>
          </w:p>
        </w:tc>
      </w:tr>
    </w:tbl>
    <w:p>
      <w:pPr>
        <w:ind w:firstLine="440"/>
      </w:pPr>
      <w:r>
        <w:t>1、报价一经涂改，应在涂改处加盖单位公章或者由法定代表人或授权委托人签名或盖章，否则其投标作无效标处理。</w:t>
      </w:r>
    </w:p>
    <w:p>
      <w:pPr>
        <w:ind w:firstLine="440"/>
      </w:pPr>
    </w:p>
    <w:p>
      <w:pPr>
        <w:ind w:firstLine="440"/>
      </w:pPr>
    </w:p>
    <w:p>
      <w:pPr>
        <w:pStyle w:val="11"/>
      </w:pPr>
      <w:r>
        <w:rPr>
          <w:rFonts w:hint="eastAsia"/>
        </w:rPr>
        <w:t>投标人名称（盖章）：</w:t>
      </w:r>
    </w:p>
    <w:p>
      <w:pPr>
        <w:pStyle w:val="11"/>
      </w:pPr>
      <w:r>
        <w:rPr>
          <w:rFonts w:hint="eastAsia"/>
        </w:rPr>
        <w:t>法定代表人或授权代表（签名或印章）：</w:t>
      </w:r>
    </w:p>
    <w:p>
      <w:pPr>
        <w:pStyle w:val="11"/>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Pr>
        <w:pStyle w:val="2"/>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p>
    <w:p>
      <w:pPr>
        <w:widowControl/>
        <w:jc w:val="center"/>
        <w:rPr>
          <w:rFonts w:hint="eastAsia" w:ascii="宋体" w:hAnsi="宋体" w:cs="宋体"/>
          <w:b/>
          <w:bCs/>
          <w:color w:val="auto"/>
          <w:sz w:val="24"/>
          <w:highlight w:val="none"/>
        </w:rPr>
      </w:pPr>
      <w:r>
        <w:rPr>
          <w:rFonts w:hint="eastAsia" w:ascii="宋体" w:hAnsi="宋体" w:cs="宋体"/>
          <w:b/>
          <w:bCs/>
          <w:color w:val="auto"/>
          <w:sz w:val="24"/>
          <w:highlight w:val="none"/>
        </w:rPr>
        <w:t>投标分项报价表</w:t>
      </w:r>
    </w:p>
    <w:p/>
    <w:p>
      <w:pPr>
        <w:rPr>
          <w:lang w:val="zh-CN"/>
        </w:rPr>
      </w:pPr>
      <w:r>
        <w:rPr>
          <w:rFonts w:hint="eastAsia"/>
          <w:lang w:val="zh-CN"/>
        </w:rPr>
        <w:t>项目名称：</w:t>
      </w:r>
      <w:r>
        <w:rPr>
          <w:rFonts w:hint="eastAsia"/>
          <w:u w:val="single"/>
          <w:lang w:val="zh-CN"/>
        </w:rPr>
        <w:t xml:space="preserve"> </w:t>
      </w:r>
      <w:r>
        <w:rPr>
          <w:u w:val="single"/>
          <w:lang w:val="zh-CN"/>
        </w:rPr>
        <w:t xml:space="preserve"> </w:t>
      </w:r>
      <w:r>
        <w:rPr>
          <w:rFonts w:hint="eastAsia" w:ascii="Calibri" w:hAnsi="Calibri" w:cs="Calibri"/>
          <w:color w:val="auto"/>
          <w:sz w:val="22"/>
          <w:u w:val="single"/>
          <w:lang w:val="en-US" w:eastAsia="zh-CN"/>
        </w:rPr>
        <w:t>2024年鄞州保安公司鄞州大道快速路监控治安监控建设项目</w:t>
      </w:r>
    </w:p>
    <w:p/>
    <w:tbl>
      <w:tblPr>
        <w:tblStyle w:val="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916"/>
        <w:gridCol w:w="5176"/>
        <w:gridCol w:w="416"/>
        <w:gridCol w:w="397"/>
        <w:gridCol w:w="397"/>
        <w:gridCol w:w="397"/>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参数说明</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 前端监控点位配置</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智能球型摄像机</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【400万像素星光级8寸红外网络高清高速智能球机】</w:t>
            </w:r>
            <w:r>
              <w:rPr>
                <w:rStyle w:val="12"/>
                <w:lang w:val="en-US" w:eastAsia="zh-CN" w:bidi="ar"/>
              </w:rPr>
              <w:br w:type="textWrapping"/>
            </w:r>
            <w:r>
              <w:rPr>
                <w:rStyle w:val="12"/>
                <w:lang w:val="en-US" w:eastAsia="zh-CN" w:bidi="ar"/>
              </w:rPr>
              <w:t>具备人脸、人体抓拍并关联输出功能，支持指哪抓哪、多场景轮巡抓拍、远距离卡口抓拍模式；</w:t>
            </w:r>
            <w:r>
              <w:rPr>
                <w:rStyle w:val="12"/>
                <w:lang w:val="en-US" w:eastAsia="zh-CN" w:bidi="ar"/>
              </w:rPr>
              <w:br w:type="textWrapping"/>
            </w:r>
            <w:r>
              <w:rPr>
                <w:rStyle w:val="12"/>
                <w:lang w:val="en-US" w:eastAsia="zh-CN" w:bidi="ar"/>
              </w:rPr>
              <w:t>★在混合目标检测模式下，可支持人脸与人体、车牌与车辆的关联显示。（以公安部检验报告为准并加盖原厂公章）</w:t>
            </w:r>
            <w:r>
              <w:rPr>
                <w:rStyle w:val="12"/>
                <w:lang w:val="en-US" w:eastAsia="zh-CN" w:bidi="ar"/>
              </w:rPr>
              <w:br w:type="textWrapping"/>
            </w:r>
            <w:r>
              <w:rPr>
                <w:rStyle w:val="12"/>
                <w:lang w:val="en-US" w:eastAsia="zh-CN" w:bidi="ar"/>
              </w:rPr>
              <w:t>支持人脸人体车辆同时抓拍，人脸人体关联输出，并实现对人脸、人体、车辆结构化属性特征信息提取</w:t>
            </w:r>
            <w:r>
              <w:rPr>
                <w:rStyle w:val="12"/>
                <w:lang w:val="en-US" w:eastAsia="zh-CN" w:bidi="ar"/>
              </w:rPr>
              <w:br w:type="textWrapping"/>
            </w:r>
            <w:r>
              <w:rPr>
                <w:rStyle w:val="12"/>
                <w:lang w:val="en-US" w:eastAsia="zh-CN" w:bidi="ar"/>
              </w:rPr>
              <w:t>★可通过客户端导入人脸图片，设备支持存储15万张人脸图片（以公安部检验报告为准并加盖原厂公章）；</w:t>
            </w:r>
            <w:r>
              <w:rPr>
                <w:rStyle w:val="12"/>
                <w:lang w:val="en-US" w:eastAsia="zh-CN" w:bidi="ar"/>
              </w:rPr>
              <w:br w:type="textWrapping"/>
            </w:r>
            <w:r>
              <w:rPr>
                <w:rStyle w:val="12"/>
                <w:lang w:val="en-US" w:eastAsia="zh-CN" w:bidi="ar"/>
              </w:rPr>
              <w:t>★支持人脸图片比对功能，比对成功率不低于99%（以公安部检验报告为准并加盖原厂公章）；</w:t>
            </w:r>
            <w:r>
              <w:rPr>
                <w:rStyle w:val="12"/>
                <w:lang w:val="en-US" w:eastAsia="zh-CN" w:bidi="ar"/>
              </w:rPr>
              <w:br w:type="textWrapping"/>
            </w:r>
            <w:r>
              <w:rPr>
                <w:rStyle w:val="12"/>
                <w:lang w:val="en-US" w:eastAsia="zh-CN" w:bidi="ar"/>
              </w:rPr>
              <w:t>★设备具备布控黑名单功能，当悬挂黑名单中车牌的车辆经过设定区域时，可触发报警并进行水平360°跟踪，黑名单中可添加10000个车牌（以公安部检验报告为准并加盖原厂公章）</w:t>
            </w:r>
            <w:r>
              <w:rPr>
                <w:rStyle w:val="12"/>
                <w:lang w:val="en-US" w:eastAsia="zh-CN" w:bidi="ar"/>
              </w:rPr>
              <w:br w:type="textWrapping"/>
            </w:r>
            <w:r>
              <w:rPr>
                <w:rStyle w:val="12"/>
                <w:lang w:val="en-US" w:eastAsia="zh-CN" w:bidi="ar"/>
              </w:rPr>
              <w:t>图像传感器:1/1.8＂ progressive scan CMOS；</w:t>
            </w:r>
            <w:r>
              <w:rPr>
                <w:rStyle w:val="12"/>
                <w:lang w:val="en-US" w:eastAsia="zh-CN" w:bidi="ar"/>
              </w:rPr>
              <w:br w:type="textWrapping"/>
            </w:r>
            <w:r>
              <w:rPr>
                <w:rStyle w:val="12"/>
                <w:lang w:val="en-US" w:eastAsia="zh-CN" w:bidi="ar"/>
              </w:rPr>
              <w:t>★支持最低照度可达彩色0.0002 lx，黑白0.0001 lx（以公安部检验报告为准并加盖原厂公章）</w:t>
            </w:r>
            <w:r>
              <w:rPr>
                <w:rStyle w:val="12"/>
                <w:lang w:val="en-US" w:eastAsia="zh-CN" w:bidi="ar"/>
              </w:rPr>
              <w:br w:type="textWrapping"/>
            </w:r>
            <w:r>
              <w:rPr>
                <w:rStyle w:val="12"/>
                <w:lang w:val="en-US" w:eastAsia="zh-CN" w:bidi="ar"/>
              </w:rPr>
              <w:t>分辨率及帧率:主码流 50Hz:50fps ( 2560 × 1440);60Hz:60fps ( 2560 × 1440)</w:t>
            </w:r>
            <w:r>
              <w:rPr>
                <w:rStyle w:val="12"/>
                <w:lang w:val="en-US" w:eastAsia="zh-CN" w:bidi="ar"/>
              </w:rPr>
              <w:br w:type="textWrapping"/>
            </w:r>
            <w:r>
              <w:rPr>
                <w:rStyle w:val="12"/>
                <w:lang w:val="en-US" w:eastAsia="zh-CN" w:bidi="ar"/>
              </w:rPr>
              <w:t>视频压缩:H.265/H.264/MJPEG、红外照射距离:250m、焦距:6-192mm，32倍光学变倍、Smart图像增强:120dB超宽动态、光学透雾、强光抑制、电子防抖、Smart IR</w:t>
            </w:r>
            <w:r>
              <w:rPr>
                <w:rStyle w:val="12"/>
                <w:lang w:val="en-US" w:eastAsia="zh-CN" w:bidi="ar"/>
              </w:rPr>
              <w:br w:type="textWrapping"/>
            </w:r>
            <w:r>
              <w:rPr>
                <w:rStyle w:val="12"/>
                <w:lang w:val="en-US" w:eastAsia="zh-CN" w:bidi="ar"/>
              </w:rPr>
              <w:t>水平及垂直范围:水平360°；垂直-20°-90°（自动翻转）、水平速度:水平键控速度：0.1°-210°/s,速度可设;水平预置点速度：280°/s</w:t>
            </w:r>
            <w:r>
              <w:rPr>
                <w:rStyle w:val="12"/>
                <w:lang w:val="en-US" w:eastAsia="zh-CN" w:bidi="ar"/>
              </w:rPr>
              <w:br w:type="textWrapping"/>
            </w:r>
            <w:r>
              <w:rPr>
                <w:rStyle w:val="12"/>
                <w:lang w:val="en-US" w:eastAsia="zh-CN" w:bidi="ar"/>
              </w:rPr>
              <w:t>垂直速度:垂直键控速度：0.1°-150°/s,速度可设;垂直预置点速度：250°/s；</w:t>
            </w:r>
            <w:r>
              <w:rPr>
                <w:rStyle w:val="12"/>
                <w:lang w:val="en-US" w:eastAsia="zh-CN" w:bidi="ar"/>
              </w:rPr>
              <w:br w:type="textWrapping"/>
            </w:r>
            <w:r>
              <w:rPr>
                <w:rStyle w:val="12"/>
                <w:lang w:val="en-US" w:eastAsia="zh-CN" w:bidi="ar"/>
              </w:rPr>
              <w:t>★设备具备跟踪比对功能，当设定区域内行人人脸与布控人脸库中的人脸比对结果一致时，可触发报警并进行水平360°跟踪（以公安部检验报告为准并加盖原厂公章）</w:t>
            </w:r>
            <w:r>
              <w:rPr>
                <w:rStyle w:val="12"/>
                <w:lang w:val="en-US" w:eastAsia="zh-CN" w:bidi="ar"/>
              </w:rPr>
              <w:br w:type="textWrapping"/>
            </w:r>
            <w:r>
              <w:rPr>
                <w:rStyle w:val="12"/>
                <w:lang w:val="en-US" w:eastAsia="zh-CN" w:bidi="ar"/>
              </w:rPr>
              <w:t>★设备具备遮挡跟踪功能，当设备正在跟踪的人员全身被遮挡时，设备可保持跟踪状态并持续框选提示，若 4s以内被跟踪人员又出现在监控画面中，可重新开始进行水平360°跟踪（以公安部检验报告为准并加盖原厂公章）</w:t>
            </w:r>
            <w:r>
              <w:rPr>
                <w:rStyle w:val="12"/>
                <w:lang w:val="en-US" w:eastAsia="zh-CN" w:bidi="ar"/>
              </w:rPr>
              <w:br w:type="textWrapping"/>
            </w:r>
            <w:r>
              <w:rPr>
                <w:rStyle w:val="12"/>
                <w:lang w:val="en-US" w:eastAsia="zh-CN" w:bidi="ar"/>
              </w:rPr>
              <w:t xml:space="preserve">电源接口:AC24V±25%自带电源 、网络接口:RJ45网口，自适应10M/100M网络数据 </w:t>
            </w:r>
            <w:r>
              <w:rPr>
                <w:rStyle w:val="12"/>
                <w:lang w:val="en-US" w:eastAsia="zh-CN" w:bidi="ar"/>
              </w:rPr>
              <w:br w:type="textWrapping"/>
            </w:r>
            <w:r>
              <w:rPr>
                <w:rStyle w:val="12"/>
                <w:lang w:val="en-US" w:eastAsia="zh-CN" w:bidi="ar"/>
              </w:rPr>
              <w:t>音频输入/输出:1路音频输入；1路音频输出、报警输入/输出:7路报警输入；2路报警输出、CVBS输出接口:BNC头、具有RS485控制接口</w:t>
            </w:r>
            <w:r>
              <w:rPr>
                <w:rStyle w:val="12"/>
                <w:lang w:val="en-US" w:eastAsia="zh-CN" w:bidi="ar"/>
              </w:rPr>
              <w:br w:type="textWrapping"/>
            </w:r>
            <w:r>
              <w:rPr>
                <w:rStyle w:val="12"/>
                <w:lang w:val="en-US" w:eastAsia="zh-CN" w:bidi="ar"/>
              </w:rPr>
              <w:t>SD卡接口:内置Micro SD卡插槽，支持Micro SD(即TF卡)/Micro SDHC/Micro SDXC卡（最大支持256G）</w:t>
            </w:r>
            <w:r>
              <w:rPr>
                <w:rStyle w:val="12"/>
                <w:lang w:val="en-US" w:eastAsia="zh-CN" w:bidi="ar"/>
              </w:rPr>
              <w:br w:type="textWrapping"/>
            </w:r>
            <w:r>
              <w:rPr>
                <w:rStyle w:val="12"/>
                <w:lang w:val="en-US" w:eastAsia="zh-CN" w:bidi="ar"/>
              </w:rPr>
              <w:t>功耗:60W max（其中加热5Wmax，红外灯15W max）、工作温度和湿度:-40℃-70℃；湿度小于90%、防护等级:IP67</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400万智能双舱一体机</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400万1/1.8”  CMOSAI双目筒型网络摄像机；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传感器类型：1/1.8”Progressive Scan CMOS(上通道);1/1.8”Progressive Scan CMOS(下通道):电源供应：AC24V,摄像机出厂自带电源适配器(220V)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最低照度：上通道：彩色：0.0006 Lux@(F1.0,AGC ON):黑白：0.0002 Lux @(F1.0  AGC ON),0 Lux with IR;下通道：彩色：0.0006 Lux@(F1.0,AGC ON):黑白：0.0002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在分辨率1920x1080 @25fps,延时不大于70ms。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镜头：上通道：11-44mm F@1.2水平视场角：39.9°-9.5°   垂直视场角：22°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下通道：4mm F@1.0水平视场角：89°   垂直视场角：46°;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支持透雾、电子防抖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动态范围不小于120dB。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通道看细节，下通道看全景，采用双舱一体化设计，由双镜头相机与高性能GPU模块 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双镜头支持垂直角度调节功能。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支持混合抓拍模式，可同时对行人、非机动车、机动车进行检测、跟踪及抓拍，行人、 非机动车和机动车目标捕获率不低于99%,支持行人、非机动车和机动车的分类计数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抓拍人体：支持上衣颜色、下装颜色、性别、戴眼镜、背包、拎东西、戴帽子、戴口 罩、长短袖、裤裙、发型属性识别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抓拍人脸：支持对运动人脸进行抓拍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支持侧脸过滤功能，可过滤上下、左右角度达到预设值的人脸。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支持行人轨迹跟踪功能，可在抓拍图片上叠加行进轨迹和行进方向。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抓拍非机动车：支持上衣颜色、性别、戴眼镜、背包、戴帽子、戴口罩、长短袖、发 型、骑车类型、骑车人数属性识别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抓拍机动车：支持车牌抓拍，支持车型、车牌颜色、车身颜色、车牌类型、子品牌车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身颜色属性识别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支持捕获、识别新能源汽车专用号牌；可识别不低于5000种车辆子品牌；支持无线 AP,支持设备所在位置的经纬度查询功能，GPS模块，支持GPS/北斗校时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在混合抓拍模式下，支持行人、非机动车和机动车的分类计数。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内置混合补光灯，可对红外灯及白光灯功率进行调节。</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5"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人脸摄像机400万像素</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400万 1/1.8" 星光级CMOS AI护罩一体化网络摄像机</w:t>
            </w:r>
            <w:r>
              <w:rPr>
                <w:rStyle w:val="12"/>
                <w:lang w:val="en-US" w:eastAsia="zh-CN" w:bidi="ar"/>
              </w:rPr>
              <w:br w:type="textWrapping"/>
            </w:r>
            <w:r>
              <w:rPr>
                <w:rStyle w:val="12"/>
                <w:lang w:val="en-US" w:eastAsia="zh-CN" w:bidi="ar"/>
              </w:rPr>
              <w:t>混合目标检测(全结构化模式)：</w:t>
            </w:r>
            <w:r>
              <w:rPr>
                <w:rStyle w:val="12"/>
                <w:lang w:val="en-US" w:eastAsia="zh-CN" w:bidi="ar"/>
              </w:rPr>
              <w:br w:type="textWrapping"/>
            </w:r>
            <w:r>
              <w:rPr>
                <w:rStyle w:val="12"/>
                <w:lang w:val="en-US" w:eastAsia="zh-CN" w:bidi="ar"/>
              </w:rPr>
              <w:t>在混合抓拍模式下，行人、非机动车和机动车目标捕获率不低于99%</w:t>
            </w:r>
            <w:r>
              <w:rPr>
                <w:rStyle w:val="12"/>
                <w:lang w:val="en-US" w:eastAsia="zh-CN" w:bidi="ar"/>
              </w:rPr>
              <w:br w:type="textWrapping"/>
            </w:r>
            <w:r>
              <w:rPr>
                <w:rStyle w:val="12"/>
                <w:lang w:val="en-US" w:eastAsia="zh-CN" w:bidi="ar"/>
              </w:rPr>
              <w:t>a)抓拍人体：支持上衣颜色、下装颜色、性别、戴眼镜、背包、拎东西、戴帽子、戴口罩、长短袖、裤裙、发型属性识别</w:t>
            </w:r>
            <w:r>
              <w:rPr>
                <w:rStyle w:val="12"/>
                <w:lang w:val="en-US" w:eastAsia="zh-CN" w:bidi="ar"/>
              </w:rPr>
              <w:br w:type="textWrapping"/>
            </w:r>
            <w:r>
              <w:rPr>
                <w:rStyle w:val="12"/>
                <w:lang w:val="en-US" w:eastAsia="zh-CN" w:bidi="ar"/>
              </w:rPr>
              <w:t>b)抓拍人脸：支持对运动人脸进行抓拍</w:t>
            </w:r>
            <w:r>
              <w:rPr>
                <w:rStyle w:val="12"/>
                <w:lang w:val="en-US" w:eastAsia="zh-CN" w:bidi="ar"/>
              </w:rPr>
              <w:br w:type="textWrapping"/>
            </w:r>
            <w:r>
              <w:rPr>
                <w:rStyle w:val="12"/>
                <w:lang w:val="en-US" w:eastAsia="zh-CN" w:bidi="ar"/>
              </w:rPr>
              <w:t>支持侧脸过滤功能，可过滤上下、左右角度达到预设值的人脸</w:t>
            </w:r>
            <w:r>
              <w:rPr>
                <w:rStyle w:val="12"/>
                <w:lang w:val="en-US" w:eastAsia="zh-CN" w:bidi="ar"/>
              </w:rPr>
              <w:br w:type="textWrapping"/>
            </w:r>
            <w:r>
              <w:rPr>
                <w:rStyle w:val="12"/>
                <w:lang w:val="en-US" w:eastAsia="zh-CN" w:bidi="ar"/>
              </w:rPr>
              <w:t>c)抓拍非机动车：支持上衣颜色、性别、戴眼镜、背包、戴帽子、戴口罩、长短袖、发型、骑车类型、骑车人数属性识别</w:t>
            </w:r>
            <w:r>
              <w:rPr>
                <w:rStyle w:val="12"/>
                <w:lang w:val="en-US" w:eastAsia="zh-CN" w:bidi="ar"/>
              </w:rPr>
              <w:br w:type="textWrapping"/>
            </w:r>
            <w:r>
              <w:rPr>
                <w:rStyle w:val="12"/>
                <w:lang w:val="en-US" w:eastAsia="zh-CN" w:bidi="ar"/>
              </w:rPr>
              <w:t>d)抓拍机动车：支持车牌识别并抓拍。支持车型、车牌颜色、车身颜色、车牌类型、子品牌车身颜色属性识别</w:t>
            </w:r>
            <w:r>
              <w:rPr>
                <w:rStyle w:val="12"/>
                <w:lang w:val="en-US" w:eastAsia="zh-CN" w:bidi="ar"/>
              </w:rPr>
              <w:br w:type="textWrapping"/>
            </w:r>
            <w:r>
              <w:rPr>
                <w:rStyle w:val="12"/>
                <w:lang w:val="en-US" w:eastAsia="zh-CN" w:bidi="ar"/>
              </w:rPr>
              <w:t>最低照度:彩色:0.0005 Lux @ (F1.2, AGC ON) 黑白:0.0001 Lux @ (F1.2, AGC ON)</w:t>
            </w:r>
            <w:r>
              <w:rPr>
                <w:rStyle w:val="12"/>
                <w:lang w:val="en-US" w:eastAsia="zh-CN" w:bidi="ar"/>
              </w:rPr>
              <w:br w:type="textWrapping"/>
            </w:r>
            <w:r>
              <w:rPr>
                <w:rStyle w:val="12"/>
                <w:lang w:val="en-US" w:eastAsia="zh-CN" w:bidi="ar"/>
              </w:rPr>
              <w:t>镜头:11-40mm @ F1.4,水平视场角：37.0°~11.5°，垂直视场角：20.2°~6.5°，对角线视场角：43.2°13.2°</w:t>
            </w:r>
            <w:r>
              <w:rPr>
                <w:rStyle w:val="12"/>
                <w:lang w:val="en-US" w:eastAsia="zh-CN" w:bidi="ar"/>
              </w:rPr>
              <w:br w:type="textWrapping"/>
            </w:r>
            <w:r>
              <w:rPr>
                <w:rStyle w:val="12"/>
                <w:lang w:val="en-US" w:eastAsia="zh-CN" w:bidi="ar"/>
              </w:rPr>
              <w:t>宽动态:120dB</w:t>
            </w:r>
            <w:r>
              <w:rPr>
                <w:rStyle w:val="12"/>
                <w:lang w:val="en-US" w:eastAsia="zh-CN" w:bidi="ar"/>
              </w:rPr>
              <w:br w:type="textWrapping"/>
            </w:r>
            <w:r>
              <w:rPr>
                <w:rStyle w:val="12"/>
                <w:lang w:val="en-US" w:eastAsia="zh-CN" w:bidi="ar"/>
              </w:rPr>
              <w:t>视频压缩标准:H.265/H.264 / MJPEG</w:t>
            </w:r>
            <w:r>
              <w:rPr>
                <w:rStyle w:val="12"/>
                <w:lang w:val="en-US" w:eastAsia="zh-CN" w:bidi="ar"/>
              </w:rPr>
              <w:br w:type="textWrapping"/>
            </w:r>
            <w:r>
              <w:rPr>
                <w:rStyle w:val="12"/>
                <w:lang w:val="en-US" w:eastAsia="zh-CN" w:bidi="ar"/>
              </w:rPr>
              <w:t>最大图像尺寸:2560 x 1440</w:t>
            </w:r>
            <w:r>
              <w:rPr>
                <w:rStyle w:val="12"/>
                <w:lang w:val="en-US" w:eastAsia="zh-CN" w:bidi="ar"/>
              </w:rPr>
              <w:br w:type="textWrapping"/>
            </w:r>
            <w:r>
              <w:rPr>
                <w:rStyle w:val="12"/>
                <w:lang w:val="en-US" w:eastAsia="zh-CN" w:bidi="ar"/>
              </w:rPr>
              <w:t>在分辨率1920x1080 @ 25fps，延时不大于70ms</w:t>
            </w:r>
            <w:r>
              <w:rPr>
                <w:rStyle w:val="12"/>
                <w:lang w:val="en-US" w:eastAsia="zh-CN" w:bidi="ar"/>
              </w:rPr>
              <w:br w:type="textWrapping"/>
            </w:r>
            <w:r>
              <w:rPr>
                <w:rStyle w:val="12"/>
                <w:lang w:val="en-US" w:eastAsia="zh-CN" w:bidi="ar"/>
              </w:rPr>
              <w:t>存储功能:支持Micro SD(即TF卡)/Micro SDHC /Micro SDXC卡(128G)断网本地存储及断网续传,NAS(NFS,SMB/CIFS均支持)</w:t>
            </w:r>
            <w:r>
              <w:rPr>
                <w:rStyle w:val="12"/>
                <w:lang w:val="en-US" w:eastAsia="zh-CN" w:bidi="ar"/>
              </w:rPr>
              <w:br w:type="textWrapping"/>
            </w:r>
            <w:r>
              <w:rPr>
                <w:rStyle w:val="12"/>
                <w:lang w:val="en-US" w:eastAsia="zh-CN" w:bidi="ar"/>
              </w:rPr>
              <w:t>支持亮度异常、清晰度异常、花屏、雪花、偏色、画面冻结、增益失衡、画面抖动、条纹干扰、信号丢失、视频遮挡、光晕、紫边等故障报警功能</w:t>
            </w:r>
            <w:r>
              <w:rPr>
                <w:rStyle w:val="12"/>
                <w:lang w:val="en-US" w:eastAsia="zh-CN" w:bidi="ar"/>
              </w:rPr>
              <w:br w:type="textWrapping"/>
            </w:r>
            <w:r>
              <w:rPr>
                <w:rStyle w:val="12"/>
                <w:lang w:val="en-US" w:eastAsia="zh-CN" w:bidi="ar"/>
              </w:rPr>
              <w:t>通讯接口:1个RJ45 10M / 100M /1000M自适应以太网口；1个RS485；1个RS232</w:t>
            </w:r>
            <w:r>
              <w:rPr>
                <w:rStyle w:val="12"/>
                <w:lang w:val="en-US" w:eastAsia="zh-CN" w:bidi="ar"/>
              </w:rPr>
              <w:br w:type="textWrapping"/>
            </w:r>
            <w:r>
              <w:rPr>
                <w:rStyle w:val="12"/>
                <w:lang w:val="en-US" w:eastAsia="zh-CN" w:bidi="ar"/>
              </w:rPr>
              <w:t>扩展接口:具有2路3.5mm音频输入(Line in)、1路输出接口；1个Vp-p视频输出口、3对报警输入/输出接口(报警输出最大支持AC/DC 24V 1A )</w:t>
            </w:r>
            <w:r>
              <w:rPr>
                <w:rStyle w:val="12"/>
                <w:lang w:val="en-US" w:eastAsia="zh-CN" w:bidi="ar"/>
              </w:rPr>
              <w:br w:type="textWrapping"/>
            </w:r>
            <w:r>
              <w:rPr>
                <w:rStyle w:val="12"/>
                <w:lang w:val="en-US" w:eastAsia="zh-CN" w:bidi="ar"/>
              </w:rPr>
              <w:t>工作温度和湿度:-30℃~60℃,湿度小于95%(无凝结)；</w:t>
            </w:r>
            <w:r>
              <w:rPr>
                <w:rStyle w:val="12"/>
                <w:lang w:val="en-US" w:eastAsia="zh-CN" w:bidi="ar"/>
              </w:rPr>
              <w:br w:type="textWrapping"/>
            </w:r>
            <w:r>
              <w:rPr>
                <w:rStyle w:val="12"/>
                <w:lang w:val="en-US" w:eastAsia="zh-CN" w:bidi="ar"/>
              </w:rPr>
              <w:t>电源供应:AC：24V±20%，摄像机出厂自带适配器</w:t>
            </w:r>
            <w:r>
              <w:rPr>
                <w:rStyle w:val="12"/>
                <w:lang w:val="en-US" w:eastAsia="zh-CN" w:bidi="ar"/>
              </w:rPr>
              <w:br w:type="textWrapping"/>
            </w:r>
            <w:r>
              <w:rPr>
                <w:rStyle w:val="12"/>
                <w:lang w:val="en-US" w:eastAsia="zh-CN" w:bidi="ar"/>
              </w:rPr>
              <w:t>电源接口类型:2芯绿色接头</w:t>
            </w:r>
            <w:r>
              <w:rPr>
                <w:rStyle w:val="12"/>
                <w:lang w:val="en-US" w:eastAsia="zh-CN" w:bidi="ar"/>
              </w:rPr>
              <w:br w:type="textWrapping"/>
            </w:r>
            <w:r>
              <w:rPr>
                <w:rStyle w:val="12"/>
                <w:lang w:val="en-US" w:eastAsia="zh-CN" w:bidi="ar"/>
              </w:rPr>
              <w:t>功耗:AC：24V,2.52A,Max：42.4W</w:t>
            </w:r>
            <w:r>
              <w:rPr>
                <w:rStyle w:val="12"/>
                <w:lang w:val="en-US" w:eastAsia="zh-CN" w:bidi="ar"/>
              </w:rPr>
              <w:br w:type="textWrapping"/>
            </w:r>
            <w:r>
              <w:rPr>
                <w:rStyle w:val="12"/>
                <w:lang w:val="en-US" w:eastAsia="zh-CN" w:bidi="ar"/>
              </w:rPr>
              <w:t>补光距离:混合补光:普通监控：80m 人脸抓拍：15m</w:t>
            </w:r>
            <w:r>
              <w:rPr>
                <w:rStyle w:val="12"/>
                <w:lang w:val="en-US" w:eastAsia="zh-CN" w:bidi="ar"/>
              </w:rPr>
              <w:br w:type="textWrapping"/>
            </w:r>
            <w:r>
              <w:rPr>
                <w:rStyle w:val="12"/>
                <w:lang w:val="en-US" w:eastAsia="zh-CN" w:bidi="ar"/>
              </w:rPr>
              <w:t>内置混合补光灯，可对红外灯及白光灯功率进行调节</w:t>
            </w:r>
            <w:r>
              <w:rPr>
                <w:rStyle w:val="12"/>
                <w:lang w:val="en-US" w:eastAsia="zh-CN" w:bidi="ar"/>
              </w:rPr>
              <w:br w:type="textWrapping"/>
            </w:r>
            <w:r>
              <w:rPr>
                <w:rStyle w:val="12"/>
                <w:lang w:val="en-US" w:eastAsia="zh-CN" w:bidi="ar"/>
              </w:rPr>
              <w:t>存储功能:支持Micro SD(即TF卡)/Micro SDHC/Micro SDXC卡(128G)断网本地存储及断网续传,NAS(NFS,SMB/CIFS均支持)</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L型立杆(6.5m挑</w:t>
            </w:r>
            <w:r>
              <w:rPr>
                <w:rStyle w:val="13"/>
                <w:lang w:val="en-US" w:eastAsia="zh-CN" w:bidi="ar"/>
              </w:rPr>
              <w:t>3-</w:t>
            </w:r>
            <w:r>
              <w:rPr>
                <w:rStyle w:val="14"/>
                <w:lang w:val="en-US" w:eastAsia="zh-CN" w:bidi="ar"/>
              </w:rPr>
              <w:t>4m)</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6.5M*</w:t>
            </w:r>
            <w:r>
              <w:rPr>
                <w:rStyle w:val="15"/>
                <w:lang w:val="en-US" w:eastAsia="zh-CN" w:bidi="ar"/>
              </w:rPr>
              <w:t>3-4M，主杆臂厚6mm，挑臂厚4mm；材料采用热轧钢板（Q235），弯曲后热镀锌，表面电喷；主杆上端直径120mm下端直径220（八角杆），挑臂直径120mm~80mm，长度3000m~4000m；立杆底板采用42φ420圆形钢材，厚度为20mm。要求尺寸标准开料；折弯：要求均匀；焊接：平整无虚焊；打弯：成型角；热镀锌按国家标准，镀锌层厚度≥85μm；喷塑：厚度0.5mm以上，色泽均匀；底部开门，用专用工具开启和关闭，密闭性优。如挑臂长度由于监控点路面情况有变化，工程实施时需调整。</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基础施工（含手孔井、防雷接地）L型6*(3~4)</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尺寸不小于1000*1000*1500mm(长*宽*深)；基础采用商品砼C25（搅拌混凝土）灌筑，基础预埋件规格（6-M22）*1400MM。立杆基础开挖后，检查深度及上下口尺寸，确认无误，再放置钢筋笼，固定位置，确保顶板水平，基础中心放入2根直径32mm/PE管，与过渡窨井相连，基础采用商品砼C25（搅拌混凝土）灌筑，质量符合规范要求，并做好试块，振捣密实，基础内打入两根2M长50*50*5镀锌角铁，通过3*30镀锌扁钢与与钢筋笼两端连接，接地电阻≤10Ω。</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现场管线、破马路、传输线路及电源接入</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1、镀锌钢管、尼龙管、破马路、马路修复等相关辅助材料   2、取电采用4平方铜芯线，过马路采用地埋钢管、人行道地埋尼龙管等相关辅助材料 ,地埋深度不少于30CM   3、按每个监控点传输50米计算，接电处要求配置电表箱（含漏电保护、过压、过流等保护装置）,用电需向供电部门开户、装表4、管线等设备满足国标要求</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标示牌</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按公安要求</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户外机箱</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结构：尺寸：(高)600mm×(宽)500 mm×(深)300 mm，箱壳采用≥1.5 mm（其中门厚为≥2mm）304不锈钢；露天防雨设计；隔板采用不锈钢板；</w:t>
            </w:r>
            <w:r>
              <w:rPr>
                <w:rStyle w:val="15"/>
                <w:lang w:val="en-US" w:eastAsia="zh-CN" w:bidi="ar"/>
              </w:rPr>
              <w:t>箱体丝印“鄞州监控及标志”；配件：三芯插座4只；空气开关1只；滚轴直流风扇2只，光纤盒一个、隔板2块，光纤固定脚、接地排、不锈钢防尘网、水平线缆管理杆、进线孔胶套等含机箱至摄像机、电源线以及机箱内部连接所需的电缆。抱箍配件需采用不锈钢材质。</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前端电源防雷模块</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最大持续运行电压：220V；额定通流容量In（8/20）：10KA；最大通流容量Imax（8/20）：20KA；响应时间Ta：≤25ns；</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摄像机二合一防雷模块</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二合一RJ45加电源防雷器，摄像机额定工作电压24V，由电源避雷器、RJ45信号避雷器组成；</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漏电保护开关</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具有过载保护，短路保护，漏电保护功能；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 20A；漏电保护器类型: 2P；漏电开关动作电流30mA，动作时间小于0.1S；</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配套摄像机电源</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前端安装敷料</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定制，电源线、网线，过流过压保护装置，接插件,固定器等</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8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设备小计1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 传输链路</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工业级，设备提供≥4路百兆以太网电口，支持VLAN划分，≥1个Console口，≥1路百兆光口；配置单模单纤20KM及以上传输距离；具备SNMP网络管理功能，可以被中心端光纤收发器读取与设置状态；具备光纤收发器断电检测并自动上传告警至SNMP网管的功能；具备光纤收发器死机自动断电整机重启功能；存储转发交换方式；支持QoS技术；双电源，支持过载保护、防反接保护；具备防雷击，可抗感应高压，防浪涌等功能；IP40外壳防护等级；工业导轨式设计；工作温度具备-40℃~ +85℃，平均无故障时间MTBF10万小时及以上；提供原厂五年免费质保服务；</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8光口光纤收发器板卡</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提供≥1路10/100/1000M以太网电口，提供≥8路百兆SFP光接口，传输距离最大可达120KM及以上，支持VLAN划分，配置20KM单纤百兆SFP光模块8块,具备SNMP网络管理功能，可以实现读取与设置本端、远端光纤收发器电口以太接口的状态。提供原厂五年免费质保服务</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16插槽光收发器机箱</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箱：19英寸，高度≤5U；不少于16个插槽，支持热插拔；单台机框最大光纤接入数量不小于120条，可实现前后端所有收发器设备的二级网络管理，可以查看所有本端、远端收发器的工作状态；支持二级光纤链路故障告警功能，结合远端收发器具备的掉电自动检测告警功能，从而能判断光路信号丢失时是断纤还是远端掉电与关机。配置双电源，支持双电源单元互相热备份。</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48口接入交换机</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整机交换容量≥336Gbps，转发性能≥130Mpps；10/100/1000M 电口≥48个，千兆光端口≥4个</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千兆多模模块*2</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SFP千兆多模光模块</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38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设备小计2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建设费用总计（小计1+小计2）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pPr>
    </w:p>
    <w:p>
      <w:pPr>
        <w:ind w:firstLine="440"/>
      </w:pPr>
      <w:r>
        <w:t>1、报价一经涂改，应在涂改处加盖单位公章或者由法定代表人或授权委托人签名或盖章，否则其投标作无效标处理。</w:t>
      </w:r>
    </w:p>
    <w:p>
      <w:pPr>
        <w:ind w:firstLine="440"/>
      </w:pPr>
    </w:p>
    <w:p>
      <w:pPr>
        <w:ind w:firstLine="440"/>
      </w:pPr>
    </w:p>
    <w:p>
      <w:pPr>
        <w:pStyle w:val="11"/>
      </w:pPr>
      <w:r>
        <w:rPr>
          <w:rFonts w:hint="eastAsia"/>
        </w:rPr>
        <w:t>投标人名称（盖章）：</w:t>
      </w:r>
    </w:p>
    <w:p>
      <w:pPr>
        <w:pStyle w:val="11"/>
      </w:pPr>
      <w:r>
        <w:rPr>
          <w:rFonts w:hint="eastAsia"/>
        </w:rPr>
        <w:t>法定代表人或授权代表（签名或印章）：</w:t>
      </w:r>
    </w:p>
    <w:p>
      <w:pPr>
        <w:pStyle w:val="11"/>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Pr>
        <w:pStyle w:val="2"/>
        <w:sectPr>
          <w:pgSz w:w="11906" w:h="16838"/>
          <w:pgMar w:top="1440" w:right="1800" w:bottom="1440" w:left="1800" w:header="851" w:footer="992" w:gutter="0"/>
          <w:cols w:space="425" w:num="1"/>
          <w:docGrid w:type="lines" w:linePitch="312" w:charSpace="0"/>
        </w:sectPr>
      </w:pPr>
    </w:p>
    <w:p>
      <w:pPr>
        <w:pStyle w:val="4"/>
        <w:numPr>
          <w:ilvl w:val="0"/>
          <w:numId w:val="0"/>
        </w:numPr>
        <w:ind w:left="432" w:leftChars="0" w:hanging="432" w:firstLineChars="0"/>
        <w:rPr>
          <w:rFonts w:hint="eastAsia" w:ascii="宋体" w:hAnsi="宋体" w:eastAsia="宋体" w:cs="宋体"/>
          <w:b/>
          <w:bCs/>
          <w:i w:val="0"/>
          <w:kern w:val="44"/>
          <w:sz w:val="24"/>
          <w:szCs w:val="24"/>
          <w:lang w:val="en-US" w:eastAsia="zh-CN" w:bidi="ar-SA"/>
        </w:rPr>
      </w:pPr>
      <w:r>
        <w:rPr>
          <w:rFonts w:hint="eastAsia" w:ascii="宋体" w:hAnsi="宋体" w:eastAsia="宋体" w:cs="宋体"/>
          <w:b/>
          <w:bCs/>
          <w:i w:val="0"/>
          <w:kern w:val="44"/>
          <w:sz w:val="24"/>
          <w:szCs w:val="24"/>
          <w:lang w:val="en-US" w:eastAsia="zh-CN" w:bidi="ar-SA"/>
        </w:rPr>
        <w:t>7.3、参加政府采购活动前3年内在经营活动中没有重大违法记录和没有行贿犯罪记录的书面声明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微软雅黑" w:hAnsi="微软雅黑" w:eastAsia="微软雅黑" w:cs="微软雅黑"/>
          <w:i w:val="0"/>
          <w:iCs w:val="0"/>
          <w:caps w:val="0"/>
          <w:color w:val="000000"/>
          <w:spacing w:val="0"/>
          <w:sz w:val="27"/>
          <w:szCs w:val="27"/>
        </w:rPr>
        <w:t>书面声明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致：宁波市鄞州保安服务有限公司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（投标人全称）参加贵方组织的 （项目） 招标有关活动，并进行投标。为此声明：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我单位参加政府采购活动前3年内在经营活动中没有重大违法记录和没有行贿犯罪记录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特此声明！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投标人盖章： （公章）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法定代表人（单位负责人）或授权代表签字：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lang w:val="en-US" w:eastAsia="zh-CN" w:bidi="ar-SA"/>
        </w:rPr>
        <w:t>日期： 年 月</w:t>
      </w:r>
      <w:r>
        <w:rPr>
          <w:rFonts w:hint="eastAsia" w:ascii="Times New Roman" w:hAnsi="Times New Roman" w:cs="Times New Roman"/>
          <w:color w:val="auto"/>
          <w:kern w:val="0"/>
          <w:sz w:val="22"/>
          <w:szCs w:val="22"/>
          <w:lang w:val="en-US" w:eastAsia="zh-CN" w:bidi="ar-SA"/>
        </w:rPr>
        <w:t xml:space="preserve"> </w:t>
      </w:r>
      <w:r>
        <w:rPr>
          <w:rFonts w:hint="eastAsia" w:ascii="Times New Roman" w:hAnsi="Times New Roman" w:eastAsia="宋体" w:cs="Times New Roman"/>
          <w:color w:val="auto"/>
          <w:kern w:val="0"/>
          <w:sz w:val="22"/>
          <w:szCs w:val="22"/>
          <w:lang w:val="en-US" w:eastAsia="zh-CN" w:bidi="ar-SA"/>
        </w:rPr>
        <w:t xml:space="preserve"> 日</w:t>
      </w:r>
    </w:p>
    <w:p>
      <w:pPr>
        <w:spacing w:line="360" w:lineRule="auto"/>
        <w:rPr>
          <w:rFonts w:ascii="宋体" w:hAnsi="宋体"/>
          <w:b/>
          <w:bCs/>
        </w:rPr>
      </w:pPr>
      <w:r>
        <w:rPr>
          <w:rFonts w:hint="eastAsia" w:ascii="宋体" w:hAnsi="宋体"/>
          <w:b/>
          <w:bCs/>
          <w:lang w:val="en-US" w:eastAsia="zh-CN"/>
        </w:rPr>
        <w:t>7.4</w:t>
      </w:r>
      <w:r>
        <w:rPr>
          <w:rFonts w:hint="eastAsia" w:ascii="宋体" w:hAnsi="宋体"/>
          <w:b/>
          <w:bCs/>
        </w:rPr>
        <w:t>信用中国查询声明函</w:t>
      </w:r>
    </w:p>
    <w:p>
      <w:pPr>
        <w:spacing w:line="360" w:lineRule="auto"/>
        <w:rPr>
          <w:rFonts w:ascii="宋体" w:hAnsi="宋体"/>
        </w:rPr>
      </w:pPr>
    </w:p>
    <w:p>
      <w:pPr>
        <w:spacing w:line="480" w:lineRule="auto"/>
        <w:jc w:val="center"/>
        <w:rPr>
          <w:rFonts w:ascii="宋体" w:hAnsi="宋体"/>
          <w:b/>
          <w:bCs/>
          <w:sz w:val="24"/>
          <w:szCs w:val="24"/>
        </w:rPr>
      </w:pPr>
      <w:r>
        <w:rPr>
          <w:rFonts w:hint="eastAsia" w:ascii="宋体" w:hAnsi="宋体"/>
          <w:b/>
          <w:bCs/>
          <w:sz w:val="24"/>
          <w:szCs w:val="24"/>
        </w:rPr>
        <w:t>信用中国查询声明函</w:t>
      </w:r>
    </w:p>
    <w:p>
      <w:pPr>
        <w:spacing w:line="360" w:lineRule="auto"/>
        <w:ind w:firstLine="420"/>
      </w:pPr>
      <w:r>
        <w:rPr>
          <w:rFonts w:hint="eastAsia" w:ascii="宋体" w:hAnsi="宋体"/>
        </w:rPr>
        <w:t>我司（单位）承诺未被列入“信用中国www.creditchina.gov.cn”网站中的政府采购严重违法失信名单及失信被执行人。</w:t>
      </w:r>
    </w:p>
    <w:p>
      <w:pPr>
        <w:spacing w:line="360" w:lineRule="auto"/>
      </w:pPr>
    </w:p>
    <w:p>
      <w:pPr>
        <w:spacing w:line="360" w:lineRule="auto"/>
      </w:pPr>
    </w:p>
    <w:p>
      <w:pPr>
        <w:spacing w:line="360" w:lineRule="auto"/>
      </w:pPr>
    </w:p>
    <w:p>
      <w:pPr>
        <w:spacing w:line="360" w:lineRule="auto"/>
        <w:ind w:firstLine="4290" w:firstLineChars="1950"/>
      </w:pPr>
      <w:r>
        <w:rPr>
          <w:rFonts w:hint="eastAsia"/>
        </w:rPr>
        <w:t>投标人（盖章）</w:t>
      </w:r>
    </w:p>
    <w:p>
      <w:pPr>
        <w:spacing w:line="360" w:lineRule="auto"/>
        <w:ind w:firstLine="440" w:firstLineChars="200"/>
      </w:pPr>
      <w:r>
        <w:rPr>
          <w:rFonts w:hint="eastAsia"/>
        </w:rPr>
        <w:t>法定代表人（负责人）或其授权委托人（签名或印章）：</w:t>
      </w:r>
    </w:p>
    <w:p>
      <w:pPr>
        <w:snapToGrid w:val="0"/>
        <w:spacing w:before="50" w:after="50"/>
        <w:ind w:firstLine="4840" w:firstLineChars="2200"/>
        <w:rPr>
          <w:rFonts w:ascii="宋体" w:hAnsi="宋体"/>
        </w:rPr>
      </w:pPr>
      <w:r>
        <w:rPr>
          <w:rFonts w:hint="eastAsia"/>
        </w:rPr>
        <w:t>日    期：</w:t>
      </w:r>
    </w:p>
    <w:p>
      <w:pPr>
        <w:pStyle w:val="2"/>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WRjMGM4Njc0NGJjZjc5YTZlMWZjOGE5NDUyMTcifQ=="/>
  </w:docVars>
  <w:rsids>
    <w:rsidRoot w:val="0B425948"/>
    <w:rsid w:val="0B42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Normal (Web)"/>
    <w:basedOn w:val="1"/>
    <w:qFormat/>
    <w:uiPriority w:val="0"/>
    <w:pPr>
      <w:widowControl/>
      <w:jc w:val="left"/>
    </w:pPr>
    <w:rPr>
      <w:rFonts w:ascii="宋体" w:hAnsi="宋体" w:cs="宋体"/>
      <w:color w:val="000000"/>
      <w:kern w:val="0"/>
      <w:sz w:val="24"/>
    </w:rPr>
  </w:style>
  <w:style w:type="character" w:styleId="8">
    <w:name w:val="Strong"/>
    <w:qFormat/>
    <w:uiPriority w:val="0"/>
    <w:rPr>
      <w:b/>
      <w:bCs/>
    </w:rPr>
  </w:style>
  <w:style w:type="paragraph" w:styleId="9">
    <w:name w:val="No Spacing"/>
    <w:next w:val="1"/>
    <w:autoRedefine/>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0">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1">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 w:type="character" w:customStyle="1" w:styleId="12">
    <w:name w:val="font71"/>
    <w:basedOn w:val="7"/>
    <w:autoRedefine/>
    <w:uiPriority w:val="0"/>
    <w:rPr>
      <w:rFonts w:hint="eastAsia" w:ascii="宋体" w:hAnsi="宋体" w:eastAsia="宋体" w:cs="宋体"/>
      <w:color w:val="000000"/>
      <w:sz w:val="20"/>
      <w:szCs w:val="20"/>
      <w:u w:val="none"/>
    </w:rPr>
  </w:style>
  <w:style w:type="character" w:customStyle="1" w:styleId="13">
    <w:name w:val="font01"/>
    <w:basedOn w:val="7"/>
    <w:autoRedefine/>
    <w:qFormat/>
    <w:uiPriority w:val="0"/>
    <w:rPr>
      <w:rFonts w:hint="eastAsia" w:ascii="宋体" w:hAnsi="宋体" w:eastAsia="宋体" w:cs="宋体"/>
      <w:color w:val="FF0000"/>
      <w:sz w:val="20"/>
      <w:szCs w:val="20"/>
      <w:u w:val="none"/>
    </w:rPr>
  </w:style>
  <w:style w:type="character" w:customStyle="1" w:styleId="14">
    <w:name w:val="font91"/>
    <w:basedOn w:val="7"/>
    <w:uiPriority w:val="0"/>
    <w:rPr>
      <w:rFonts w:hint="eastAsia" w:ascii="宋体" w:hAnsi="宋体" w:eastAsia="宋体" w:cs="宋体"/>
      <w:color w:val="000000"/>
      <w:sz w:val="20"/>
      <w:szCs w:val="20"/>
      <w:u w:val="none"/>
    </w:rPr>
  </w:style>
  <w:style w:type="character" w:customStyle="1" w:styleId="15">
    <w:name w:val="font51"/>
    <w:basedOn w:val="7"/>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2024-04-24T02:02:00Z</dcterms:created>
  <dc:creator>黑色</dc:creator>
  <cp:lastModifiedBy>黑色</cp:lastModifiedBy>
  <dcterms:modified xsi:type="dcterms:W3CDTF">2024-04-24T02:03:46Z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39CCC3C182CB438CB1C3F558269FA462_11</vt:lpwstr>
  </property>
</Properties>
</file>